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EE4A" w14:textId="1634CB3F" w:rsidR="002C252F" w:rsidRPr="00CE2530" w:rsidRDefault="009272F7" w:rsidP="00BE1101">
      <w:pPr>
        <w:jc w:val="right"/>
        <w:rPr>
          <w:rFonts w:ascii="Times New Roman" w:hAnsi="Times New Roman" w:cs="Times New Roman"/>
        </w:rPr>
      </w:pPr>
      <w:r w:rsidRPr="00CE253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7F20FDB7" wp14:editId="53AA06BE">
            <wp:simplePos x="0" y="0"/>
            <wp:positionH relativeFrom="margin">
              <wp:align>left</wp:align>
            </wp:positionH>
            <wp:positionV relativeFrom="paragraph">
              <wp:posOffset>-438150</wp:posOffset>
            </wp:positionV>
            <wp:extent cx="2895088" cy="114935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l hi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088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2530">
        <w:rPr>
          <w:rFonts w:ascii="Times New Roman" w:hAnsi="Times New Roman" w:cs="Times New Roman"/>
          <w:b/>
        </w:rPr>
        <w:t>FOR IMMEDIATE RELEASE</w:t>
      </w:r>
      <w:r w:rsidRPr="00CE2530">
        <w:rPr>
          <w:rFonts w:ascii="Times New Roman" w:hAnsi="Times New Roman" w:cs="Times New Roman"/>
        </w:rPr>
        <w:br/>
      </w:r>
      <w:r w:rsidR="009B43D2" w:rsidRPr="00CE2530">
        <w:rPr>
          <w:rFonts w:ascii="Times New Roman" w:hAnsi="Times New Roman" w:cs="Times New Roman"/>
          <w:b/>
        </w:rPr>
        <w:t>March 31</w:t>
      </w:r>
      <w:r w:rsidR="00B967BF" w:rsidRPr="00CE2530">
        <w:rPr>
          <w:rFonts w:ascii="Times New Roman" w:hAnsi="Times New Roman" w:cs="Times New Roman"/>
          <w:b/>
        </w:rPr>
        <w:t>, 20</w:t>
      </w:r>
      <w:r w:rsidR="00811484" w:rsidRPr="00CE2530">
        <w:rPr>
          <w:rFonts w:ascii="Times New Roman" w:hAnsi="Times New Roman" w:cs="Times New Roman"/>
          <w:b/>
        </w:rPr>
        <w:t>2</w:t>
      </w:r>
      <w:r w:rsidR="009B43D2" w:rsidRPr="00CE2530">
        <w:rPr>
          <w:rFonts w:ascii="Times New Roman" w:hAnsi="Times New Roman" w:cs="Times New Roman"/>
          <w:b/>
        </w:rPr>
        <w:t>2</w:t>
      </w:r>
      <w:r w:rsidRPr="00CE2530">
        <w:rPr>
          <w:rFonts w:ascii="Times New Roman" w:hAnsi="Times New Roman" w:cs="Times New Roman"/>
        </w:rPr>
        <w:br/>
        <w:t>CONTACT: Desi Burns Porter</w:t>
      </w:r>
      <w:r w:rsidR="00D56A38" w:rsidRPr="00CE2530">
        <w:rPr>
          <w:rFonts w:ascii="Times New Roman" w:hAnsi="Times New Roman" w:cs="Times New Roman"/>
        </w:rPr>
        <w:br/>
      </w:r>
      <w:r w:rsidRPr="00CE2530">
        <w:rPr>
          <w:rFonts w:ascii="Times New Roman" w:hAnsi="Times New Roman" w:cs="Times New Roman"/>
        </w:rPr>
        <w:t>EMAIL: desi@TexansAgainstHSR.com</w:t>
      </w:r>
    </w:p>
    <w:p w14:paraId="4C028F68" w14:textId="588B44B3" w:rsidR="00E14BD6" w:rsidRPr="00CE2530" w:rsidRDefault="00916894" w:rsidP="00E14BD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E2530">
        <w:rPr>
          <w:rFonts w:ascii="Times New Roman" w:hAnsi="Times New Roman" w:cs="Times New Roman"/>
          <w:b/>
        </w:rPr>
        <w:br/>
      </w:r>
      <w:r w:rsidR="00D71CC6" w:rsidRPr="00CE2530">
        <w:rPr>
          <w:rFonts w:ascii="Times New Roman" w:hAnsi="Times New Roman" w:cs="Times New Roman"/>
          <w:b/>
        </w:rPr>
        <w:t xml:space="preserve">TEXAS </w:t>
      </w:r>
      <w:r w:rsidR="003C5FDF" w:rsidRPr="00CE2530">
        <w:rPr>
          <w:rFonts w:ascii="Times New Roman" w:hAnsi="Times New Roman" w:cs="Times New Roman"/>
          <w:b/>
        </w:rPr>
        <w:t xml:space="preserve">HSR PROMOTER OWES $622,000+ </w:t>
      </w:r>
      <w:r w:rsidR="00915B22" w:rsidRPr="00CE2530">
        <w:rPr>
          <w:rFonts w:ascii="Times New Roman" w:hAnsi="Times New Roman" w:cs="Times New Roman"/>
          <w:b/>
        </w:rPr>
        <w:br/>
      </w:r>
      <w:r w:rsidR="003C5FDF" w:rsidRPr="00CE2530">
        <w:rPr>
          <w:rFonts w:ascii="Times New Roman" w:hAnsi="Times New Roman" w:cs="Times New Roman"/>
          <w:b/>
        </w:rPr>
        <w:t>IN DELINQUENT PROPERTY TAXES</w:t>
      </w:r>
      <w:r w:rsidR="00D50B34" w:rsidRPr="00CE2530">
        <w:rPr>
          <w:rFonts w:ascii="Times New Roman" w:hAnsi="Times New Roman" w:cs="Times New Roman"/>
          <w:b/>
        </w:rPr>
        <w:t xml:space="preserve"> </w:t>
      </w:r>
    </w:p>
    <w:p w14:paraId="194472CF" w14:textId="721C99B1" w:rsidR="003E1A25" w:rsidRPr="00CE2530" w:rsidRDefault="00734681" w:rsidP="00EC6D3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E2530">
        <w:rPr>
          <w:rFonts w:ascii="Times New Roman" w:hAnsi="Times New Roman" w:cs="Times New Roman"/>
          <w:b/>
        </w:rPr>
        <w:t xml:space="preserve">Texas HSR project </w:t>
      </w:r>
      <w:r w:rsidR="00915B22" w:rsidRPr="00CE2530">
        <w:rPr>
          <w:rFonts w:ascii="Times New Roman" w:hAnsi="Times New Roman" w:cs="Times New Roman"/>
          <w:b/>
        </w:rPr>
        <w:t>is delinquent on its property taxes in all counties</w:t>
      </w:r>
      <w:r w:rsidR="006F6FCE" w:rsidRPr="00CE2530">
        <w:rPr>
          <w:rFonts w:ascii="Times New Roman" w:hAnsi="Times New Roman" w:cs="Times New Roman"/>
          <w:b/>
        </w:rPr>
        <w:t xml:space="preserve"> in which it owns property</w:t>
      </w:r>
      <w:r w:rsidR="00FD6E51" w:rsidRPr="00CE2530">
        <w:rPr>
          <w:rFonts w:ascii="Times New Roman" w:hAnsi="Times New Roman" w:cs="Times New Roman"/>
          <w:b/>
        </w:rPr>
        <w:t xml:space="preserve"> and continues to incur interest and penalties.</w:t>
      </w:r>
    </w:p>
    <w:p w14:paraId="373F3EE7" w14:textId="6F8A8FDF" w:rsidR="00FC366C" w:rsidRPr="00CE2530" w:rsidRDefault="009272F7" w:rsidP="003C7D7C">
      <w:pPr>
        <w:spacing w:line="240" w:lineRule="auto"/>
        <w:jc w:val="both"/>
        <w:rPr>
          <w:rFonts w:ascii="Times New Roman" w:hAnsi="Times New Roman" w:cs="Times New Roman"/>
        </w:rPr>
      </w:pPr>
      <w:r w:rsidRPr="00CE2530">
        <w:rPr>
          <w:rFonts w:ascii="Times New Roman" w:hAnsi="Times New Roman" w:cs="Times New Roman"/>
        </w:rPr>
        <w:t>Jewett, Texas –</w:t>
      </w:r>
      <w:r w:rsidR="00B967BF" w:rsidRPr="00CE2530">
        <w:rPr>
          <w:rFonts w:ascii="Times New Roman" w:hAnsi="Times New Roman" w:cs="Times New Roman"/>
        </w:rPr>
        <w:t> </w:t>
      </w:r>
      <w:r w:rsidR="007F797C" w:rsidRPr="00CE2530">
        <w:rPr>
          <w:rFonts w:ascii="Times New Roman" w:hAnsi="Times New Roman" w:cs="Times New Roman"/>
        </w:rPr>
        <w:t>Related to James Miles v. Texas Central Railroad and Infrastructure</w:t>
      </w:r>
      <w:r w:rsidR="006C333D" w:rsidRPr="00CE2530">
        <w:rPr>
          <w:rFonts w:ascii="Times New Roman" w:hAnsi="Times New Roman" w:cs="Times New Roman"/>
        </w:rPr>
        <w:t xml:space="preserve"> before the Supreme Court of Texas,</w:t>
      </w:r>
      <w:r w:rsidR="007F797C" w:rsidRPr="00CE2530">
        <w:rPr>
          <w:rFonts w:ascii="Times New Roman" w:hAnsi="Times New Roman" w:cs="Times New Roman"/>
        </w:rPr>
        <w:t xml:space="preserve"> </w:t>
      </w:r>
      <w:r w:rsidR="00F35EDB" w:rsidRPr="00CE2530">
        <w:rPr>
          <w:rFonts w:ascii="Times New Roman" w:hAnsi="Times New Roman" w:cs="Times New Roman"/>
        </w:rPr>
        <w:t xml:space="preserve">the Counties of </w:t>
      </w:r>
      <w:r w:rsidR="00775FC6" w:rsidRPr="00CE2530">
        <w:rPr>
          <w:rFonts w:ascii="Times New Roman" w:hAnsi="Times New Roman" w:cs="Times New Roman"/>
        </w:rPr>
        <w:t xml:space="preserve">Ellis, </w:t>
      </w:r>
      <w:r w:rsidR="00485319" w:rsidRPr="00CE2530">
        <w:rPr>
          <w:rFonts w:ascii="Times New Roman" w:hAnsi="Times New Roman" w:cs="Times New Roman"/>
        </w:rPr>
        <w:t xml:space="preserve">Freestone, </w:t>
      </w:r>
      <w:r w:rsidR="00775FC6" w:rsidRPr="00CE2530">
        <w:rPr>
          <w:rFonts w:ascii="Times New Roman" w:hAnsi="Times New Roman" w:cs="Times New Roman"/>
        </w:rPr>
        <w:t xml:space="preserve">Grimes, Leon, </w:t>
      </w:r>
      <w:r w:rsidR="00844C3F" w:rsidRPr="00CE2530">
        <w:rPr>
          <w:rFonts w:ascii="Times New Roman" w:hAnsi="Times New Roman" w:cs="Times New Roman"/>
        </w:rPr>
        <w:t xml:space="preserve">Limestone, </w:t>
      </w:r>
      <w:r w:rsidR="00775FC6" w:rsidRPr="00CE2530">
        <w:rPr>
          <w:rFonts w:ascii="Times New Roman" w:hAnsi="Times New Roman" w:cs="Times New Roman"/>
        </w:rPr>
        <w:t xml:space="preserve">Madison, </w:t>
      </w:r>
      <w:r w:rsidR="00844C3F" w:rsidRPr="00CE2530">
        <w:rPr>
          <w:rFonts w:ascii="Times New Roman" w:hAnsi="Times New Roman" w:cs="Times New Roman"/>
        </w:rPr>
        <w:t xml:space="preserve">Navarro, </w:t>
      </w:r>
      <w:r w:rsidR="00863992" w:rsidRPr="00CE2530">
        <w:rPr>
          <w:rFonts w:ascii="Times New Roman" w:hAnsi="Times New Roman" w:cs="Times New Roman"/>
        </w:rPr>
        <w:t xml:space="preserve">and </w:t>
      </w:r>
      <w:r w:rsidR="00775FC6" w:rsidRPr="00CE2530">
        <w:rPr>
          <w:rFonts w:ascii="Times New Roman" w:hAnsi="Times New Roman" w:cs="Times New Roman"/>
        </w:rPr>
        <w:t>Waller</w:t>
      </w:r>
      <w:r w:rsidR="00F7503A" w:rsidRPr="00CE2530">
        <w:rPr>
          <w:rFonts w:ascii="Times New Roman" w:hAnsi="Times New Roman" w:cs="Times New Roman"/>
        </w:rPr>
        <w:t xml:space="preserve"> </w:t>
      </w:r>
      <w:r w:rsidR="00F773E3" w:rsidRPr="00CE2530">
        <w:rPr>
          <w:rFonts w:ascii="Times New Roman" w:hAnsi="Times New Roman" w:cs="Times New Roman"/>
        </w:rPr>
        <w:t xml:space="preserve">submitted a letter </w:t>
      </w:r>
      <w:r w:rsidR="00303182" w:rsidRPr="00CE2530">
        <w:rPr>
          <w:rFonts w:ascii="Times New Roman" w:hAnsi="Times New Roman" w:cs="Times New Roman"/>
        </w:rPr>
        <w:t xml:space="preserve">yesterday </w:t>
      </w:r>
      <w:r w:rsidR="00F773E3" w:rsidRPr="00CE2530">
        <w:rPr>
          <w:rFonts w:ascii="Times New Roman" w:hAnsi="Times New Roman" w:cs="Times New Roman"/>
        </w:rPr>
        <w:t xml:space="preserve">to the </w:t>
      </w:r>
      <w:r w:rsidR="006C333D" w:rsidRPr="00CE2530">
        <w:rPr>
          <w:rFonts w:ascii="Times New Roman" w:hAnsi="Times New Roman" w:cs="Times New Roman"/>
        </w:rPr>
        <w:t>Court</w:t>
      </w:r>
      <w:r w:rsidR="00865E47" w:rsidRPr="00CE2530">
        <w:rPr>
          <w:rFonts w:ascii="Times New Roman" w:hAnsi="Times New Roman" w:cs="Times New Roman"/>
        </w:rPr>
        <w:t xml:space="preserve"> to </w:t>
      </w:r>
      <w:r w:rsidR="00C11A94" w:rsidRPr="00CE2530">
        <w:rPr>
          <w:rFonts w:ascii="Times New Roman" w:hAnsi="Times New Roman" w:cs="Times New Roman"/>
        </w:rPr>
        <w:t>updat</w:t>
      </w:r>
      <w:r w:rsidR="00865E47" w:rsidRPr="00CE2530">
        <w:rPr>
          <w:rFonts w:ascii="Times New Roman" w:hAnsi="Times New Roman" w:cs="Times New Roman"/>
        </w:rPr>
        <w:t>e</w:t>
      </w:r>
      <w:r w:rsidR="00C11A94" w:rsidRPr="00CE2530">
        <w:rPr>
          <w:rFonts w:ascii="Times New Roman" w:hAnsi="Times New Roman" w:cs="Times New Roman"/>
        </w:rPr>
        <w:t xml:space="preserve"> them on the </w:t>
      </w:r>
      <w:r w:rsidR="00CD4ED2" w:rsidRPr="00CE2530">
        <w:rPr>
          <w:rFonts w:ascii="Times New Roman" w:hAnsi="Times New Roman" w:cs="Times New Roman"/>
        </w:rPr>
        <w:t xml:space="preserve">significant growing amount owed </w:t>
      </w:r>
      <w:r w:rsidR="005A325D" w:rsidRPr="00CE2530">
        <w:rPr>
          <w:rFonts w:ascii="Times New Roman" w:hAnsi="Times New Roman" w:cs="Times New Roman"/>
        </w:rPr>
        <w:t xml:space="preserve">by Texas Central </w:t>
      </w:r>
      <w:r w:rsidR="00CD4ED2" w:rsidRPr="00CE2530">
        <w:rPr>
          <w:rFonts w:ascii="Times New Roman" w:hAnsi="Times New Roman" w:cs="Times New Roman"/>
        </w:rPr>
        <w:t xml:space="preserve">to those counties, as well as Dallas and Harris Counties, in </w:t>
      </w:r>
      <w:r w:rsidR="00C11A94" w:rsidRPr="00CE2530">
        <w:rPr>
          <w:rFonts w:ascii="Times New Roman" w:hAnsi="Times New Roman" w:cs="Times New Roman"/>
        </w:rPr>
        <w:t xml:space="preserve">delinquent </w:t>
      </w:r>
      <w:r w:rsidR="00D5212A" w:rsidRPr="00CE2530">
        <w:rPr>
          <w:rFonts w:ascii="Times New Roman" w:hAnsi="Times New Roman" w:cs="Times New Roman"/>
        </w:rPr>
        <w:t xml:space="preserve">2021 </w:t>
      </w:r>
      <w:r w:rsidR="00CD4ED2" w:rsidRPr="00CE2530">
        <w:rPr>
          <w:rFonts w:ascii="Times New Roman" w:hAnsi="Times New Roman" w:cs="Times New Roman"/>
        </w:rPr>
        <w:t>property taxes</w:t>
      </w:r>
      <w:r w:rsidR="007357E2" w:rsidRPr="00CE2530">
        <w:rPr>
          <w:rFonts w:ascii="Times New Roman" w:hAnsi="Times New Roman" w:cs="Times New Roman"/>
        </w:rPr>
        <w:t>.</w:t>
      </w:r>
      <w:r w:rsidR="000D1B73" w:rsidRPr="00CE2530">
        <w:rPr>
          <w:rFonts w:ascii="Times New Roman" w:hAnsi="Times New Roman" w:cs="Times New Roman"/>
        </w:rPr>
        <w:t xml:space="preserve"> </w:t>
      </w:r>
    </w:p>
    <w:p w14:paraId="71F5237F" w14:textId="25B74E8E" w:rsidR="004F655B" w:rsidRPr="00CE2530" w:rsidRDefault="00325512" w:rsidP="003C7D7C">
      <w:pPr>
        <w:spacing w:line="240" w:lineRule="auto"/>
        <w:jc w:val="both"/>
        <w:rPr>
          <w:rFonts w:ascii="Times New Roman" w:hAnsi="Times New Roman" w:cs="Times New Roman"/>
        </w:rPr>
      </w:pPr>
      <w:r w:rsidRPr="00CE2530">
        <w:rPr>
          <w:rFonts w:ascii="Times New Roman" w:hAnsi="Times New Roman" w:cs="Times New Roman"/>
        </w:rPr>
        <w:t>Despite making regular public claims t</w:t>
      </w:r>
      <w:r w:rsidR="00B96247" w:rsidRPr="00CE2530">
        <w:rPr>
          <w:rFonts w:ascii="Times New Roman" w:hAnsi="Times New Roman" w:cs="Times New Roman"/>
        </w:rPr>
        <w:t xml:space="preserve">hat the company would benefit the counties by being </w:t>
      </w:r>
      <w:r w:rsidR="00064589" w:rsidRPr="00CE2530">
        <w:rPr>
          <w:rFonts w:ascii="Times New Roman" w:hAnsi="Times New Roman" w:cs="Times New Roman"/>
        </w:rPr>
        <w:t>“</w:t>
      </w:r>
      <w:r w:rsidR="00B96247" w:rsidRPr="00CE2530">
        <w:rPr>
          <w:rFonts w:ascii="Times New Roman" w:hAnsi="Times New Roman" w:cs="Times New Roman"/>
        </w:rPr>
        <w:t>responsible neighbors</w:t>
      </w:r>
      <w:r w:rsidR="00064589" w:rsidRPr="00CE2530">
        <w:rPr>
          <w:rFonts w:ascii="Times New Roman" w:hAnsi="Times New Roman" w:cs="Times New Roman"/>
        </w:rPr>
        <w:t>”</w:t>
      </w:r>
      <w:r w:rsidR="00B96247" w:rsidRPr="00CE2530">
        <w:rPr>
          <w:rFonts w:ascii="Times New Roman" w:hAnsi="Times New Roman" w:cs="Times New Roman"/>
        </w:rPr>
        <w:t xml:space="preserve"> and </w:t>
      </w:r>
      <w:r w:rsidR="00064589" w:rsidRPr="00CE2530">
        <w:rPr>
          <w:rFonts w:ascii="Times New Roman" w:hAnsi="Times New Roman" w:cs="Times New Roman"/>
        </w:rPr>
        <w:t>“</w:t>
      </w:r>
      <w:r w:rsidR="000F043F" w:rsidRPr="00CE2530">
        <w:rPr>
          <w:rFonts w:ascii="Times New Roman" w:hAnsi="Times New Roman" w:cs="Times New Roman"/>
        </w:rPr>
        <w:t>substantial tax payers,</w:t>
      </w:r>
      <w:r w:rsidR="00064589" w:rsidRPr="00CE2530">
        <w:rPr>
          <w:rFonts w:ascii="Times New Roman" w:hAnsi="Times New Roman" w:cs="Times New Roman"/>
        </w:rPr>
        <w:t>”</w:t>
      </w:r>
      <w:r w:rsidR="00863992" w:rsidRPr="00CE2530">
        <w:rPr>
          <w:rFonts w:ascii="Times New Roman" w:hAnsi="Times New Roman" w:cs="Times New Roman"/>
        </w:rPr>
        <w:t xml:space="preserve"> </w:t>
      </w:r>
      <w:r w:rsidR="000F043F" w:rsidRPr="00CE2530">
        <w:rPr>
          <w:rFonts w:ascii="Times New Roman" w:hAnsi="Times New Roman" w:cs="Times New Roman"/>
        </w:rPr>
        <w:t>Texas Central owes the counties in which it owns property over $622,000</w:t>
      </w:r>
      <w:r w:rsidR="00BC21FA" w:rsidRPr="00CE2530">
        <w:rPr>
          <w:rFonts w:ascii="Times New Roman" w:hAnsi="Times New Roman" w:cs="Times New Roman"/>
        </w:rPr>
        <w:t xml:space="preserve">, including $216,359 to Harris County and </w:t>
      </w:r>
      <w:r w:rsidR="006F2580" w:rsidRPr="00CE2530">
        <w:rPr>
          <w:rFonts w:ascii="Times New Roman" w:hAnsi="Times New Roman" w:cs="Times New Roman"/>
        </w:rPr>
        <w:t>nearly $146,000 to Grimes County</w:t>
      </w:r>
      <w:r w:rsidR="00F41CA3" w:rsidRPr="00CE2530">
        <w:rPr>
          <w:rFonts w:ascii="Times New Roman" w:hAnsi="Times New Roman" w:cs="Times New Roman"/>
        </w:rPr>
        <w:t>, and these amounts continue to grow as interest and penalties</w:t>
      </w:r>
      <w:r w:rsidR="009A41D6" w:rsidRPr="00CE2530">
        <w:rPr>
          <w:rFonts w:ascii="Times New Roman" w:hAnsi="Times New Roman" w:cs="Times New Roman"/>
        </w:rPr>
        <w:t xml:space="preserve"> grow with the delay in payment</w:t>
      </w:r>
      <w:r w:rsidR="006F2580" w:rsidRPr="00CE2530">
        <w:rPr>
          <w:rFonts w:ascii="Times New Roman" w:hAnsi="Times New Roman" w:cs="Times New Roman"/>
        </w:rPr>
        <w:t>. Ellis County is c</w:t>
      </w:r>
      <w:r w:rsidR="0046780B" w:rsidRPr="00CE2530">
        <w:rPr>
          <w:rFonts w:ascii="Times New Roman" w:hAnsi="Times New Roman" w:cs="Times New Roman"/>
        </w:rPr>
        <w:t xml:space="preserve">orrecting erroneously assessed taxes for </w:t>
      </w:r>
      <w:r w:rsidR="00225044" w:rsidRPr="00CE2530">
        <w:rPr>
          <w:rFonts w:ascii="Times New Roman" w:hAnsi="Times New Roman" w:cs="Times New Roman"/>
        </w:rPr>
        <w:t xml:space="preserve">all years </w:t>
      </w:r>
      <w:r w:rsidR="0046780B" w:rsidRPr="00CE2530">
        <w:rPr>
          <w:rFonts w:ascii="Times New Roman" w:hAnsi="Times New Roman" w:cs="Times New Roman"/>
        </w:rPr>
        <w:t>Texas Central</w:t>
      </w:r>
      <w:r w:rsidR="00225044" w:rsidRPr="00CE2530">
        <w:rPr>
          <w:rFonts w:ascii="Times New Roman" w:hAnsi="Times New Roman" w:cs="Times New Roman"/>
        </w:rPr>
        <w:t xml:space="preserve"> owned</w:t>
      </w:r>
      <w:r w:rsidR="0046780B" w:rsidRPr="00CE2530">
        <w:rPr>
          <w:rFonts w:ascii="Times New Roman" w:hAnsi="Times New Roman" w:cs="Times New Roman"/>
        </w:rPr>
        <w:t xml:space="preserve"> properties</w:t>
      </w:r>
      <w:r w:rsidR="00225044" w:rsidRPr="00CE2530">
        <w:rPr>
          <w:rFonts w:ascii="Times New Roman" w:hAnsi="Times New Roman" w:cs="Times New Roman"/>
        </w:rPr>
        <w:t xml:space="preserve"> in the county</w:t>
      </w:r>
      <w:r w:rsidR="0046780B" w:rsidRPr="00CE2530">
        <w:rPr>
          <w:rFonts w:ascii="Times New Roman" w:hAnsi="Times New Roman" w:cs="Times New Roman"/>
        </w:rPr>
        <w:t>, which will likely bring the total close</w:t>
      </w:r>
      <w:r w:rsidR="005A3E11" w:rsidRPr="00CE2530">
        <w:rPr>
          <w:rFonts w:ascii="Times New Roman" w:hAnsi="Times New Roman" w:cs="Times New Roman"/>
        </w:rPr>
        <w:t>r</w:t>
      </w:r>
      <w:r w:rsidR="0046780B" w:rsidRPr="00CE2530">
        <w:rPr>
          <w:rFonts w:ascii="Times New Roman" w:hAnsi="Times New Roman" w:cs="Times New Roman"/>
        </w:rPr>
        <w:t xml:space="preserve"> to $1 million. </w:t>
      </w:r>
    </w:p>
    <w:p w14:paraId="7021DCC6" w14:textId="77777777" w:rsidR="004B6D8F" w:rsidRPr="00CE2530" w:rsidRDefault="00245E44" w:rsidP="004B6D8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E2530">
        <w:rPr>
          <w:rFonts w:ascii="Times New Roman" w:hAnsi="Times New Roman" w:cs="Times New Roman"/>
          <w:b/>
          <w:bCs/>
        </w:rPr>
        <w:t>Amount</w:t>
      </w:r>
      <w:r w:rsidRPr="00CE2530">
        <w:rPr>
          <w:rFonts w:ascii="Times New Roman" w:hAnsi="Times New Roman" w:cs="Times New Roman"/>
          <w:b/>
          <w:bCs/>
        </w:rPr>
        <w:t xml:space="preserve">s </w:t>
      </w:r>
      <w:r w:rsidRPr="00CE2530">
        <w:rPr>
          <w:rFonts w:ascii="Times New Roman" w:hAnsi="Times New Roman" w:cs="Times New Roman"/>
          <w:b/>
          <w:bCs/>
        </w:rPr>
        <w:t>owed</w:t>
      </w:r>
      <w:r w:rsidRPr="00CE2530">
        <w:rPr>
          <w:rFonts w:ascii="Times New Roman" w:hAnsi="Times New Roman" w:cs="Times New Roman"/>
          <w:b/>
          <w:bCs/>
        </w:rPr>
        <w:t xml:space="preserve"> to Count</w:t>
      </w:r>
      <w:r w:rsidR="0027514B" w:rsidRPr="00CE2530">
        <w:rPr>
          <w:rFonts w:ascii="Times New Roman" w:hAnsi="Times New Roman" w:cs="Times New Roman"/>
          <w:b/>
          <w:bCs/>
        </w:rPr>
        <w:t>ies</w:t>
      </w:r>
      <w:r w:rsidR="00A54341" w:rsidRPr="00CE2530">
        <w:rPr>
          <w:rFonts w:ascii="Times New Roman" w:hAnsi="Times New Roman" w:cs="Times New Roman"/>
          <w:b/>
          <w:bCs/>
        </w:rPr>
        <w:t xml:space="preserve"> by Texas Central</w:t>
      </w:r>
      <w:r w:rsidR="0027514B" w:rsidRPr="00CE2530">
        <w:rPr>
          <w:rFonts w:ascii="Times New Roman" w:hAnsi="Times New Roman" w:cs="Times New Roman"/>
          <w:b/>
          <w:bCs/>
        </w:rPr>
        <w:t>:</w:t>
      </w:r>
    </w:p>
    <w:p w14:paraId="323BDE93" w14:textId="5E1F7D28" w:rsidR="00245E44" w:rsidRPr="00CE2530" w:rsidRDefault="00245E44" w:rsidP="00DE0EE9">
      <w:pPr>
        <w:spacing w:line="240" w:lineRule="auto"/>
        <w:ind w:left="3600"/>
        <w:rPr>
          <w:rFonts w:ascii="Times New Roman" w:hAnsi="Times New Roman" w:cs="Times New Roman"/>
        </w:rPr>
      </w:pPr>
      <w:r w:rsidRPr="00CE2530">
        <w:rPr>
          <w:rFonts w:ascii="Times New Roman" w:hAnsi="Times New Roman" w:cs="Times New Roman"/>
        </w:rPr>
        <w:t>Dallas</w:t>
      </w:r>
      <w:r w:rsidRPr="00CE2530">
        <w:rPr>
          <w:rFonts w:ascii="Times New Roman" w:hAnsi="Times New Roman" w:cs="Times New Roman"/>
        </w:rPr>
        <w:tab/>
      </w:r>
      <w:r w:rsidRPr="00CE2530">
        <w:rPr>
          <w:rFonts w:ascii="Times New Roman" w:hAnsi="Times New Roman" w:cs="Times New Roman"/>
        </w:rPr>
        <w:tab/>
      </w:r>
      <w:r w:rsidRPr="00CE2530">
        <w:rPr>
          <w:rFonts w:ascii="Times New Roman" w:hAnsi="Times New Roman" w:cs="Times New Roman"/>
        </w:rPr>
        <w:t>$29,898.26</w:t>
      </w:r>
      <w:r w:rsidRPr="00CE2530">
        <w:rPr>
          <w:rFonts w:ascii="Times New Roman" w:hAnsi="Times New Roman" w:cs="Times New Roman"/>
        </w:rPr>
        <w:br/>
      </w:r>
      <w:r w:rsidR="00DE0EE9" w:rsidRPr="00CE2530">
        <w:rPr>
          <w:rFonts w:ascii="Times New Roman" w:hAnsi="Times New Roman" w:cs="Times New Roman"/>
        </w:rPr>
        <w:t>Ellis</w:t>
      </w:r>
      <w:r w:rsidR="00DE0EE9" w:rsidRPr="00CE2530">
        <w:rPr>
          <w:rFonts w:ascii="Times New Roman" w:hAnsi="Times New Roman" w:cs="Times New Roman"/>
        </w:rPr>
        <w:tab/>
      </w:r>
      <w:r w:rsidR="00DE0EE9" w:rsidRPr="00CE2530">
        <w:rPr>
          <w:rFonts w:ascii="Times New Roman" w:hAnsi="Times New Roman" w:cs="Times New Roman"/>
        </w:rPr>
        <w:tab/>
        <w:t>TBD</w:t>
      </w:r>
      <w:r w:rsidR="00DE0EE9" w:rsidRPr="00CE2530">
        <w:rPr>
          <w:rFonts w:ascii="Times New Roman" w:hAnsi="Times New Roman" w:cs="Times New Roman"/>
        </w:rPr>
        <w:br/>
      </w:r>
      <w:r w:rsidR="00DE0EE9" w:rsidRPr="00CE2530">
        <w:rPr>
          <w:rFonts w:ascii="Times New Roman" w:hAnsi="Times New Roman" w:cs="Times New Roman"/>
        </w:rPr>
        <w:t>Freestone</w:t>
      </w:r>
      <w:r w:rsidR="00DE0EE9" w:rsidRPr="00CE2530">
        <w:rPr>
          <w:rFonts w:ascii="Times New Roman" w:hAnsi="Times New Roman" w:cs="Times New Roman"/>
        </w:rPr>
        <w:tab/>
        <w:t>$18,051.64</w:t>
      </w:r>
      <w:r w:rsidR="00DE0EE9" w:rsidRPr="00CE2530">
        <w:rPr>
          <w:rFonts w:ascii="Times New Roman" w:hAnsi="Times New Roman" w:cs="Times New Roman"/>
        </w:rPr>
        <w:br/>
      </w:r>
      <w:r w:rsidR="004E23F2" w:rsidRPr="00CE2530">
        <w:rPr>
          <w:rFonts w:ascii="Times New Roman" w:hAnsi="Times New Roman" w:cs="Times New Roman"/>
        </w:rPr>
        <w:t>Grimes</w:t>
      </w:r>
      <w:r w:rsidR="004E23F2" w:rsidRPr="00CE2530">
        <w:rPr>
          <w:rFonts w:ascii="Times New Roman" w:hAnsi="Times New Roman" w:cs="Times New Roman"/>
        </w:rPr>
        <w:tab/>
      </w:r>
      <w:r w:rsidR="004E23F2" w:rsidRPr="00CE2530">
        <w:rPr>
          <w:rFonts w:ascii="Times New Roman" w:hAnsi="Times New Roman" w:cs="Times New Roman"/>
        </w:rPr>
        <w:tab/>
        <w:t>$145,982.39</w:t>
      </w:r>
      <w:r w:rsidR="004E23F2" w:rsidRPr="00CE2530">
        <w:rPr>
          <w:rFonts w:ascii="Times New Roman" w:hAnsi="Times New Roman" w:cs="Times New Roman"/>
        </w:rPr>
        <w:br/>
      </w:r>
      <w:r w:rsidR="00DE0EE9" w:rsidRPr="00CE2530">
        <w:rPr>
          <w:rFonts w:ascii="Times New Roman" w:hAnsi="Times New Roman" w:cs="Times New Roman"/>
        </w:rPr>
        <w:t>Harris</w:t>
      </w:r>
      <w:r w:rsidR="00DE0EE9" w:rsidRPr="00CE2530">
        <w:rPr>
          <w:rFonts w:ascii="Times New Roman" w:hAnsi="Times New Roman" w:cs="Times New Roman"/>
        </w:rPr>
        <w:tab/>
      </w:r>
      <w:r w:rsidR="00DE0EE9" w:rsidRPr="00CE2530">
        <w:rPr>
          <w:rFonts w:ascii="Times New Roman" w:hAnsi="Times New Roman" w:cs="Times New Roman"/>
        </w:rPr>
        <w:tab/>
        <w:t>$216,359.85</w:t>
      </w:r>
      <w:r w:rsidR="00DE0EE9" w:rsidRPr="00CE2530">
        <w:rPr>
          <w:rFonts w:ascii="Times New Roman" w:hAnsi="Times New Roman" w:cs="Times New Roman"/>
        </w:rPr>
        <w:br/>
      </w:r>
      <w:r w:rsidR="004E23F2" w:rsidRPr="00CE2530">
        <w:rPr>
          <w:rFonts w:ascii="Times New Roman" w:hAnsi="Times New Roman" w:cs="Times New Roman"/>
        </w:rPr>
        <w:t>Leon</w:t>
      </w:r>
      <w:r w:rsidR="004E23F2" w:rsidRPr="00CE2530">
        <w:rPr>
          <w:rFonts w:ascii="Times New Roman" w:hAnsi="Times New Roman" w:cs="Times New Roman"/>
        </w:rPr>
        <w:tab/>
      </w:r>
      <w:r w:rsidR="004E23F2" w:rsidRPr="00CE2530">
        <w:rPr>
          <w:rFonts w:ascii="Times New Roman" w:hAnsi="Times New Roman" w:cs="Times New Roman"/>
        </w:rPr>
        <w:tab/>
        <w:t>$3,942.30</w:t>
      </w:r>
      <w:r w:rsidR="004E23F2" w:rsidRPr="00CE2530">
        <w:rPr>
          <w:rFonts w:ascii="Times New Roman" w:hAnsi="Times New Roman" w:cs="Times New Roman"/>
        </w:rPr>
        <w:br/>
        <w:t>Limestone</w:t>
      </w:r>
      <w:r w:rsidR="004E23F2" w:rsidRPr="00CE2530">
        <w:rPr>
          <w:rFonts w:ascii="Times New Roman" w:hAnsi="Times New Roman" w:cs="Times New Roman"/>
        </w:rPr>
        <w:tab/>
        <w:t>$10,055.35</w:t>
      </w:r>
      <w:r w:rsidR="004E23F2" w:rsidRPr="00CE2530">
        <w:rPr>
          <w:rFonts w:ascii="Times New Roman" w:hAnsi="Times New Roman" w:cs="Times New Roman"/>
        </w:rPr>
        <w:br/>
      </w:r>
      <w:r w:rsidRPr="00CE2530">
        <w:rPr>
          <w:rFonts w:ascii="Times New Roman" w:hAnsi="Times New Roman" w:cs="Times New Roman"/>
        </w:rPr>
        <w:t>Navarro</w:t>
      </w:r>
      <w:r w:rsidRPr="00CE2530">
        <w:rPr>
          <w:rFonts w:ascii="Times New Roman" w:hAnsi="Times New Roman" w:cs="Times New Roman"/>
        </w:rPr>
        <w:tab/>
        <w:t>$17,890.74</w:t>
      </w:r>
      <w:r w:rsidRPr="00CE2530">
        <w:rPr>
          <w:rFonts w:ascii="Times New Roman" w:hAnsi="Times New Roman" w:cs="Times New Roman"/>
        </w:rPr>
        <w:br/>
      </w:r>
      <w:r w:rsidR="004E23F2" w:rsidRPr="00CE2530">
        <w:rPr>
          <w:rFonts w:ascii="Times New Roman" w:hAnsi="Times New Roman" w:cs="Times New Roman"/>
        </w:rPr>
        <w:t>Madison</w:t>
      </w:r>
      <w:r w:rsidR="004E23F2" w:rsidRPr="00CE2530">
        <w:rPr>
          <w:rFonts w:ascii="Times New Roman" w:hAnsi="Times New Roman" w:cs="Times New Roman"/>
        </w:rPr>
        <w:tab/>
        <w:t>$68,978.33</w:t>
      </w:r>
      <w:r w:rsidR="004E23F2" w:rsidRPr="00CE2530">
        <w:rPr>
          <w:rFonts w:ascii="Times New Roman" w:hAnsi="Times New Roman" w:cs="Times New Roman"/>
        </w:rPr>
        <w:t xml:space="preserve"> </w:t>
      </w:r>
      <w:r w:rsidRPr="00CE2530">
        <w:rPr>
          <w:rFonts w:ascii="Times New Roman" w:hAnsi="Times New Roman" w:cs="Times New Roman"/>
        </w:rPr>
        <w:br/>
      </w:r>
      <w:r w:rsidR="00DE0EE9" w:rsidRPr="00CE2530">
        <w:rPr>
          <w:rFonts w:ascii="Times New Roman" w:hAnsi="Times New Roman" w:cs="Times New Roman"/>
        </w:rPr>
        <w:t>Waller</w:t>
      </w:r>
      <w:r w:rsidR="00DE0EE9" w:rsidRPr="00CE2530">
        <w:rPr>
          <w:rFonts w:ascii="Times New Roman" w:hAnsi="Times New Roman" w:cs="Times New Roman"/>
        </w:rPr>
        <w:tab/>
      </w:r>
      <w:r w:rsidR="00DE0EE9" w:rsidRPr="00CE2530">
        <w:rPr>
          <w:rFonts w:ascii="Times New Roman" w:hAnsi="Times New Roman" w:cs="Times New Roman"/>
        </w:rPr>
        <w:tab/>
        <w:t>$111,817.12</w:t>
      </w:r>
      <w:r w:rsidR="00DE0EE9" w:rsidRPr="00CE2530">
        <w:rPr>
          <w:rFonts w:ascii="Times New Roman" w:hAnsi="Times New Roman" w:cs="Times New Roman"/>
        </w:rPr>
        <w:br/>
      </w:r>
      <w:r w:rsidR="00795860" w:rsidRPr="00CE2530">
        <w:rPr>
          <w:rFonts w:ascii="Times New Roman" w:hAnsi="Times New Roman" w:cs="Times New Roman"/>
        </w:rPr>
        <w:t xml:space="preserve">           </w:t>
      </w:r>
      <w:r w:rsidRPr="00CE2530">
        <w:rPr>
          <w:rFonts w:ascii="Times New Roman" w:hAnsi="Times New Roman" w:cs="Times New Roman"/>
          <w:b/>
          <w:bCs/>
        </w:rPr>
        <w:t>Total = $622,975.98</w:t>
      </w:r>
    </w:p>
    <w:p w14:paraId="29561436" w14:textId="414361EB" w:rsidR="00916894" w:rsidRPr="00CE2530" w:rsidRDefault="00F232E0" w:rsidP="003C7D7C">
      <w:pPr>
        <w:spacing w:line="240" w:lineRule="auto"/>
        <w:jc w:val="both"/>
        <w:rPr>
          <w:rFonts w:ascii="Times New Roman" w:hAnsi="Times New Roman" w:cs="Times New Roman"/>
        </w:rPr>
      </w:pPr>
      <w:r w:rsidRPr="00CE2530">
        <w:rPr>
          <w:rFonts w:ascii="Times New Roman" w:hAnsi="Times New Roman" w:cs="Times New Roman"/>
        </w:rPr>
        <w:t>Waller</w:t>
      </w:r>
      <w:r w:rsidR="009B5E58" w:rsidRPr="00CE2530">
        <w:rPr>
          <w:rFonts w:ascii="Times New Roman" w:hAnsi="Times New Roman" w:cs="Times New Roman"/>
        </w:rPr>
        <w:t xml:space="preserve"> County Judge </w:t>
      </w:r>
      <w:r w:rsidRPr="00CE2530">
        <w:rPr>
          <w:rFonts w:ascii="Times New Roman" w:hAnsi="Times New Roman" w:cs="Times New Roman"/>
        </w:rPr>
        <w:t>Trey Duhon</w:t>
      </w:r>
      <w:r w:rsidR="009B5E58" w:rsidRPr="00CE2530">
        <w:rPr>
          <w:rFonts w:ascii="Times New Roman" w:hAnsi="Times New Roman" w:cs="Times New Roman"/>
        </w:rPr>
        <w:t xml:space="preserve"> offered, “</w:t>
      </w:r>
      <w:r w:rsidR="00337C13" w:rsidRPr="00CE2530">
        <w:rPr>
          <w:rFonts w:ascii="Times New Roman" w:hAnsi="Times New Roman" w:cs="Times New Roman"/>
        </w:rPr>
        <w:t xml:space="preserve">We felt it was important to </w:t>
      </w:r>
      <w:r w:rsidR="00193769" w:rsidRPr="00CE2530">
        <w:rPr>
          <w:rFonts w:ascii="Times New Roman" w:hAnsi="Times New Roman" w:cs="Times New Roman"/>
        </w:rPr>
        <w:t>share this telling information with the Supreme Court of Texas…Texas Central would have the</w:t>
      </w:r>
      <w:r w:rsidR="00C96F9E" w:rsidRPr="00CE2530">
        <w:rPr>
          <w:rFonts w:ascii="Times New Roman" w:hAnsi="Times New Roman" w:cs="Times New Roman"/>
        </w:rPr>
        <w:t xml:space="preserve"> Court</w:t>
      </w:r>
      <w:r w:rsidR="00193769" w:rsidRPr="00CE2530">
        <w:rPr>
          <w:rFonts w:ascii="Times New Roman" w:hAnsi="Times New Roman" w:cs="Times New Roman"/>
        </w:rPr>
        <w:t xml:space="preserve"> </w:t>
      </w:r>
      <w:r w:rsidR="00250DD4" w:rsidRPr="00CE2530">
        <w:rPr>
          <w:rFonts w:ascii="Times New Roman" w:hAnsi="Times New Roman" w:cs="Times New Roman"/>
        </w:rPr>
        <w:t>believe that they are capable of building a $30B project and should be entrusted with the enormous power of eminent domain authority</w:t>
      </w:r>
      <w:r w:rsidR="0014582E" w:rsidRPr="00CE2530">
        <w:rPr>
          <w:rFonts w:ascii="Times New Roman" w:hAnsi="Times New Roman" w:cs="Times New Roman"/>
        </w:rPr>
        <w:t>…yet, the truth is that they are incapable of doing something that responsible property owners must do every year—</w:t>
      </w:r>
      <w:r w:rsidR="00A145FB" w:rsidRPr="00CE2530">
        <w:rPr>
          <w:rFonts w:ascii="Times New Roman" w:hAnsi="Times New Roman" w:cs="Times New Roman"/>
        </w:rPr>
        <w:t xml:space="preserve">simply </w:t>
      </w:r>
      <w:r w:rsidR="0014582E" w:rsidRPr="00CE2530">
        <w:rPr>
          <w:rFonts w:ascii="Times New Roman" w:hAnsi="Times New Roman" w:cs="Times New Roman"/>
        </w:rPr>
        <w:t>pay their property taxes</w:t>
      </w:r>
      <w:r w:rsidR="00F32FDF" w:rsidRPr="00CE2530">
        <w:rPr>
          <w:rFonts w:ascii="Times New Roman" w:hAnsi="Times New Roman" w:cs="Times New Roman"/>
        </w:rPr>
        <w:t>.”</w:t>
      </w:r>
    </w:p>
    <w:p w14:paraId="5384AF8D" w14:textId="21672B1D" w:rsidR="009E1BD6" w:rsidRPr="00CE2530" w:rsidRDefault="009E1BD6" w:rsidP="003C7D7C">
      <w:pPr>
        <w:spacing w:line="240" w:lineRule="auto"/>
        <w:jc w:val="both"/>
        <w:rPr>
          <w:rFonts w:ascii="Times New Roman" w:hAnsi="Times New Roman" w:cs="Times New Roman"/>
        </w:rPr>
      </w:pPr>
      <w:r w:rsidRPr="00CE2530">
        <w:rPr>
          <w:rFonts w:ascii="Times New Roman" w:hAnsi="Times New Roman" w:cs="Times New Roman"/>
        </w:rPr>
        <w:t xml:space="preserve">While the amount of property </w:t>
      </w:r>
      <w:r w:rsidR="00052826" w:rsidRPr="00CE2530">
        <w:rPr>
          <w:rFonts w:ascii="Times New Roman" w:hAnsi="Times New Roman" w:cs="Times New Roman"/>
        </w:rPr>
        <w:t xml:space="preserve">currently </w:t>
      </w:r>
      <w:r w:rsidRPr="00CE2530">
        <w:rPr>
          <w:rFonts w:ascii="Times New Roman" w:hAnsi="Times New Roman" w:cs="Times New Roman"/>
        </w:rPr>
        <w:t xml:space="preserve">owned by Texas Central is </w:t>
      </w:r>
      <w:r w:rsidR="00D36570" w:rsidRPr="00CE2530">
        <w:rPr>
          <w:rFonts w:ascii="Times New Roman" w:hAnsi="Times New Roman" w:cs="Times New Roman"/>
        </w:rPr>
        <w:t xml:space="preserve">a small fraction of </w:t>
      </w:r>
      <w:r w:rsidR="002942AD" w:rsidRPr="00CE2530">
        <w:rPr>
          <w:rFonts w:ascii="Times New Roman" w:hAnsi="Times New Roman" w:cs="Times New Roman"/>
        </w:rPr>
        <w:t>9,000 acres</w:t>
      </w:r>
      <w:r w:rsidR="00D36570" w:rsidRPr="00CE2530">
        <w:rPr>
          <w:rFonts w:ascii="Times New Roman" w:hAnsi="Times New Roman" w:cs="Times New Roman"/>
        </w:rPr>
        <w:t xml:space="preserve"> needed for the proposed HSR project</w:t>
      </w:r>
      <w:r w:rsidR="00E60C25" w:rsidRPr="00CE2530">
        <w:rPr>
          <w:rFonts w:ascii="Times New Roman" w:hAnsi="Times New Roman" w:cs="Times New Roman"/>
        </w:rPr>
        <w:t xml:space="preserve"> and does not include the proposed station locations, these delinquent taxes </w:t>
      </w:r>
      <w:r w:rsidR="00E4728E" w:rsidRPr="00CE2530">
        <w:rPr>
          <w:rFonts w:ascii="Times New Roman" w:hAnsi="Times New Roman" w:cs="Times New Roman"/>
        </w:rPr>
        <w:t xml:space="preserve">seem to stem from </w:t>
      </w:r>
      <w:r w:rsidR="00940552" w:rsidRPr="00CE2530">
        <w:rPr>
          <w:rFonts w:ascii="Times New Roman" w:hAnsi="Times New Roman" w:cs="Times New Roman"/>
        </w:rPr>
        <w:t>the company’s current financial state</w:t>
      </w:r>
      <w:r w:rsidR="00E4728E" w:rsidRPr="00CE2530">
        <w:rPr>
          <w:rFonts w:ascii="Times New Roman" w:hAnsi="Times New Roman" w:cs="Times New Roman"/>
        </w:rPr>
        <w:t>, which would be fully revealed in its required application for a construction permit from the Surface Transportation Board</w:t>
      </w:r>
      <w:r w:rsidR="00B6270C" w:rsidRPr="00CE2530">
        <w:rPr>
          <w:rFonts w:ascii="Times New Roman" w:hAnsi="Times New Roman" w:cs="Times New Roman"/>
        </w:rPr>
        <w:t xml:space="preserve"> (STB)</w:t>
      </w:r>
      <w:r w:rsidR="00940552" w:rsidRPr="00CE2530">
        <w:rPr>
          <w:rFonts w:ascii="Times New Roman" w:hAnsi="Times New Roman" w:cs="Times New Roman"/>
        </w:rPr>
        <w:t>.</w:t>
      </w:r>
      <w:r w:rsidR="00523444" w:rsidRPr="00CE2530">
        <w:rPr>
          <w:rFonts w:ascii="Times New Roman" w:hAnsi="Times New Roman" w:cs="Times New Roman"/>
        </w:rPr>
        <w:t xml:space="preserve"> As such, t</w:t>
      </w:r>
      <w:r w:rsidR="007F1283" w:rsidRPr="00CE2530">
        <w:rPr>
          <w:rFonts w:ascii="Times New Roman" w:hAnsi="Times New Roman" w:cs="Times New Roman"/>
        </w:rPr>
        <w:t>he Counties also update</w:t>
      </w:r>
      <w:r w:rsidR="00523444" w:rsidRPr="00CE2530">
        <w:rPr>
          <w:rFonts w:ascii="Times New Roman" w:hAnsi="Times New Roman" w:cs="Times New Roman"/>
        </w:rPr>
        <w:t>d</w:t>
      </w:r>
      <w:r w:rsidR="007F1283" w:rsidRPr="00CE2530">
        <w:rPr>
          <w:rFonts w:ascii="Times New Roman" w:hAnsi="Times New Roman" w:cs="Times New Roman"/>
        </w:rPr>
        <w:t xml:space="preserve"> the Court that </w:t>
      </w:r>
      <w:r w:rsidR="00B6270C" w:rsidRPr="00CE2530">
        <w:rPr>
          <w:rFonts w:ascii="Times New Roman" w:hAnsi="Times New Roman" w:cs="Times New Roman"/>
        </w:rPr>
        <w:t xml:space="preserve">two years have </w:t>
      </w:r>
      <w:r w:rsidR="00523444" w:rsidRPr="00CE2530">
        <w:rPr>
          <w:rFonts w:ascii="Times New Roman" w:hAnsi="Times New Roman" w:cs="Times New Roman"/>
        </w:rPr>
        <w:t xml:space="preserve">now </w:t>
      </w:r>
      <w:r w:rsidR="00B6270C" w:rsidRPr="00CE2530">
        <w:rPr>
          <w:rFonts w:ascii="Times New Roman" w:hAnsi="Times New Roman" w:cs="Times New Roman"/>
        </w:rPr>
        <w:t xml:space="preserve">passed since the STB denied the company’s request to bypass a full </w:t>
      </w:r>
      <w:r w:rsidR="008E5F6D" w:rsidRPr="00CE2530">
        <w:rPr>
          <w:rFonts w:ascii="Times New Roman" w:hAnsi="Times New Roman" w:cs="Times New Roman"/>
        </w:rPr>
        <w:t>application</w:t>
      </w:r>
      <w:r w:rsidR="00A54341" w:rsidRPr="00CE2530">
        <w:rPr>
          <w:rFonts w:ascii="Times New Roman" w:hAnsi="Times New Roman" w:cs="Times New Roman"/>
        </w:rPr>
        <w:t xml:space="preserve"> and no work has begun on the application for a construction permit</w:t>
      </w:r>
      <w:r w:rsidR="008E5F6D" w:rsidRPr="00CE2530">
        <w:rPr>
          <w:rFonts w:ascii="Times New Roman" w:hAnsi="Times New Roman" w:cs="Times New Roman"/>
        </w:rPr>
        <w:t>.</w:t>
      </w:r>
    </w:p>
    <w:p w14:paraId="665219A8" w14:textId="2592034B" w:rsidR="00CA69AE" w:rsidRPr="00CE2530" w:rsidRDefault="00F87641" w:rsidP="00CD396D">
      <w:pPr>
        <w:spacing w:line="240" w:lineRule="auto"/>
        <w:jc w:val="center"/>
        <w:rPr>
          <w:rFonts w:ascii="Times New Roman" w:hAnsi="Times New Roman" w:cs="Times New Roman"/>
        </w:rPr>
      </w:pPr>
      <w:r w:rsidRPr="00CE2530">
        <w:t>###</w:t>
      </w:r>
    </w:p>
    <w:sectPr w:rsidR="00CA69AE" w:rsidRPr="00CE2530" w:rsidSect="0077329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253A" w14:textId="77777777" w:rsidR="00F07E65" w:rsidRDefault="00F07E65" w:rsidP="00726315">
      <w:pPr>
        <w:spacing w:after="0" w:line="240" w:lineRule="auto"/>
      </w:pPr>
      <w:r>
        <w:separator/>
      </w:r>
    </w:p>
  </w:endnote>
  <w:endnote w:type="continuationSeparator" w:id="0">
    <w:p w14:paraId="6F6886D8" w14:textId="77777777" w:rsidR="00F07E65" w:rsidRDefault="00F07E65" w:rsidP="0072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AD7D" w14:textId="77777777" w:rsidR="00726315" w:rsidRPr="004A1E09" w:rsidRDefault="00726315" w:rsidP="00726315">
    <w:pPr>
      <w:pStyle w:val="Footer"/>
      <w:jc w:val="center"/>
      <w:rPr>
        <w:sz w:val="20"/>
        <w:szCs w:val="20"/>
      </w:rPr>
    </w:pPr>
    <w:r w:rsidRPr="004A1E09">
      <w:rPr>
        <w:rFonts w:ascii="Times New Roman" w:hAnsi="Times New Roman" w:cs="Times New Roman"/>
        <w:sz w:val="20"/>
        <w:szCs w:val="20"/>
      </w:rPr>
      <w:t>Texans Against High-Speed Rail, Inc. | PO Box 245, Jewett, TX 75846 | 866.319.7756</w:t>
    </w:r>
    <w:r w:rsidRPr="004A1E09">
      <w:rPr>
        <w:rFonts w:ascii="Times New Roman" w:hAnsi="Times New Roman" w:cs="Times New Roman"/>
        <w:sz w:val="20"/>
        <w:szCs w:val="20"/>
      </w:rPr>
      <w:br/>
      <w:t>info@TexansAgainstHSR.com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4D65" w14:textId="77777777" w:rsidR="00F07E65" w:rsidRDefault="00F07E65" w:rsidP="00726315">
      <w:pPr>
        <w:spacing w:after="0" w:line="240" w:lineRule="auto"/>
      </w:pPr>
      <w:r>
        <w:separator/>
      </w:r>
    </w:p>
  </w:footnote>
  <w:footnote w:type="continuationSeparator" w:id="0">
    <w:p w14:paraId="21A37560" w14:textId="77777777" w:rsidR="00F07E65" w:rsidRDefault="00F07E65" w:rsidP="00726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C3"/>
    <w:rsid w:val="00010394"/>
    <w:rsid w:val="000105FB"/>
    <w:rsid w:val="00020A0C"/>
    <w:rsid w:val="000376E4"/>
    <w:rsid w:val="00045573"/>
    <w:rsid w:val="00052826"/>
    <w:rsid w:val="00057099"/>
    <w:rsid w:val="0006347D"/>
    <w:rsid w:val="00064589"/>
    <w:rsid w:val="00076935"/>
    <w:rsid w:val="00092F82"/>
    <w:rsid w:val="0009517B"/>
    <w:rsid w:val="00097A3B"/>
    <w:rsid w:val="000A71DC"/>
    <w:rsid w:val="000B53CE"/>
    <w:rsid w:val="000C3B8A"/>
    <w:rsid w:val="000D1B73"/>
    <w:rsid w:val="000E1848"/>
    <w:rsid w:val="000F043F"/>
    <w:rsid w:val="000F540D"/>
    <w:rsid w:val="00100F95"/>
    <w:rsid w:val="00101A4E"/>
    <w:rsid w:val="00113697"/>
    <w:rsid w:val="00115191"/>
    <w:rsid w:val="001231FD"/>
    <w:rsid w:val="0014582E"/>
    <w:rsid w:val="001573DF"/>
    <w:rsid w:val="0015758F"/>
    <w:rsid w:val="00160D23"/>
    <w:rsid w:val="001837E5"/>
    <w:rsid w:val="001859A3"/>
    <w:rsid w:val="00193769"/>
    <w:rsid w:val="00195C0B"/>
    <w:rsid w:val="001969A8"/>
    <w:rsid w:val="00197F2F"/>
    <w:rsid w:val="001B1EDC"/>
    <w:rsid w:val="001C6EA0"/>
    <w:rsid w:val="001E2E9A"/>
    <w:rsid w:val="001E6FB5"/>
    <w:rsid w:val="00206266"/>
    <w:rsid w:val="0021068A"/>
    <w:rsid w:val="00225044"/>
    <w:rsid w:val="002268D0"/>
    <w:rsid w:val="00245E44"/>
    <w:rsid w:val="00250DD4"/>
    <w:rsid w:val="00254702"/>
    <w:rsid w:val="0026575E"/>
    <w:rsid w:val="0027514B"/>
    <w:rsid w:val="00284561"/>
    <w:rsid w:val="002942AD"/>
    <w:rsid w:val="002B178B"/>
    <w:rsid w:val="002C252F"/>
    <w:rsid w:val="002C29C8"/>
    <w:rsid w:val="002C2E16"/>
    <w:rsid w:val="002C5BA3"/>
    <w:rsid w:val="002E6360"/>
    <w:rsid w:val="002F682C"/>
    <w:rsid w:val="00302ECB"/>
    <w:rsid w:val="00303182"/>
    <w:rsid w:val="003067B8"/>
    <w:rsid w:val="00325512"/>
    <w:rsid w:val="00337C13"/>
    <w:rsid w:val="0034072F"/>
    <w:rsid w:val="00361553"/>
    <w:rsid w:val="0037491E"/>
    <w:rsid w:val="00374F9B"/>
    <w:rsid w:val="003761A0"/>
    <w:rsid w:val="0038337D"/>
    <w:rsid w:val="0039658C"/>
    <w:rsid w:val="003A1988"/>
    <w:rsid w:val="003A58A0"/>
    <w:rsid w:val="003B38DB"/>
    <w:rsid w:val="003C5FDF"/>
    <w:rsid w:val="003C7D7C"/>
    <w:rsid w:val="003E1A25"/>
    <w:rsid w:val="003E55E9"/>
    <w:rsid w:val="00443F10"/>
    <w:rsid w:val="004467E2"/>
    <w:rsid w:val="00461165"/>
    <w:rsid w:val="0046780B"/>
    <w:rsid w:val="00484CF2"/>
    <w:rsid w:val="00485319"/>
    <w:rsid w:val="004956B8"/>
    <w:rsid w:val="004A00DD"/>
    <w:rsid w:val="004A1E09"/>
    <w:rsid w:val="004B6D8F"/>
    <w:rsid w:val="004C4F16"/>
    <w:rsid w:val="004D6D0C"/>
    <w:rsid w:val="004E23F2"/>
    <w:rsid w:val="004E6B68"/>
    <w:rsid w:val="004F3A1E"/>
    <w:rsid w:val="004F655B"/>
    <w:rsid w:val="00523444"/>
    <w:rsid w:val="00525D6F"/>
    <w:rsid w:val="0053038B"/>
    <w:rsid w:val="00531D1E"/>
    <w:rsid w:val="00536A0F"/>
    <w:rsid w:val="00551FA3"/>
    <w:rsid w:val="00560946"/>
    <w:rsid w:val="00566699"/>
    <w:rsid w:val="00567A86"/>
    <w:rsid w:val="005710D0"/>
    <w:rsid w:val="00574955"/>
    <w:rsid w:val="00593571"/>
    <w:rsid w:val="005A325D"/>
    <w:rsid w:val="005A3E11"/>
    <w:rsid w:val="005B0DF1"/>
    <w:rsid w:val="005B4A42"/>
    <w:rsid w:val="005D40D1"/>
    <w:rsid w:val="005F4043"/>
    <w:rsid w:val="006042F3"/>
    <w:rsid w:val="0063267C"/>
    <w:rsid w:val="00641580"/>
    <w:rsid w:val="006523CB"/>
    <w:rsid w:val="0065294E"/>
    <w:rsid w:val="00653602"/>
    <w:rsid w:val="006711C9"/>
    <w:rsid w:val="00683F5E"/>
    <w:rsid w:val="00694580"/>
    <w:rsid w:val="006A72C4"/>
    <w:rsid w:val="006B59A4"/>
    <w:rsid w:val="006C1552"/>
    <w:rsid w:val="006C333D"/>
    <w:rsid w:val="006F2580"/>
    <w:rsid w:val="006F56D1"/>
    <w:rsid w:val="006F66C5"/>
    <w:rsid w:val="006F6FCE"/>
    <w:rsid w:val="0071128F"/>
    <w:rsid w:val="00721541"/>
    <w:rsid w:val="00726315"/>
    <w:rsid w:val="00734681"/>
    <w:rsid w:val="007357E2"/>
    <w:rsid w:val="0075388E"/>
    <w:rsid w:val="00753E26"/>
    <w:rsid w:val="007604BB"/>
    <w:rsid w:val="00773292"/>
    <w:rsid w:val="00774C72"/>
    <w:rsid w:val="00775FC6"/>
    <w:rsid w:val="00781773"/>
    <w:rsid w:val="00785F79"/>
    <w:rsid w:val="0079364A"/>
    <w:rsid w:val="00795860"/>
    <w:rsid w:val="007A2C81"/>
    <w:rsid w:val="007A7808"/>
    <w:rsid w:val="007C0EB2"/>
    <w:rsid w:val="007F1283"/>
    <w:rsid w:val="007F54D4"/>
    <w:rsid w:val="007F6690"/>
    <w:rsid w:val="007F6FAF"/>
    <w:rsid w:val="007F797C"/>
    <w:rsid w:val="00811484"/>
    <w:rsid w:val="00836A19"/>
    <w:rsid w:val="00840398"/>
    <w:rsid w:val="00844C3F"/>
    <w:rsid w:val="008508DA"/>
    <w:rsid w:val="00863992"/>
    <w:rsid w:val="00865E47"/>
    <w:rsid w:val="008A263A"/>
    <w:rsid w:val="008A29EC"/>
    <w:rsid w:val="008A487D"/>
    <w:rsid w:val="008B0465"/>
    <w:rsid w:val="008C501E"/>
    <w:rsid w:val="008C63F9"/>
    <w:rsid w:val="008E049E"/>
    <w:rsid w:val="008E5F6D"/>
    <w:rsid w:val="008F1EF4"/>
    <w:rsid w:val="008F4D1E"/>
    <w:rsid w:val="008F5671"/>
    <w:rsid w:val="00915B22"/>
    <w:rsid w:val="009167E9"/>
    <w:rsid w:val="00916894"/>
    <w:rsid w:val="00923183"/>
    <w:rsid w:val="00926B25"/>
    <w:rsid w:val="009272F7"/>
    <w:rsid w:val="00930960"/>
    <w:rsid w:val="00937A9C"/>
    <w:rsid w:val="00940552"/>
    <w:rsid w:val="009410C2"/>
    <w:rsid w:val="00941884"/>
    <w:rsid w:val="009472C4"/>
    <w:rsid w:val="00952309"/>
    <w:rsid w:val="00977548"/>
    <w:rsid w:val="0098170D"/>
    <w:rsid w:val="009971C3"/>
    <w:rsid w:val="009A41D6"/>
    <w:rsid w:val="009B43D2"/>
    <w:rsid w:val="009B5E58"/>
    <w:rsid w:val="009C4EB1"/>
    <w:rsid w:val="009E1BD6"/>
    <w:rsid w:val="00A00982"/>
    <w:rsid w:val="00A01C31"/>
    <w:rsid w:val="00A145FB"/>
    <w:rsid w:val="00A22722"/>
    <w:rsid w:val="00A24E7E"/>
    <w:rsid w:val="00A277A7"/>
    <w:rsid w:val="00A37278"/>
    <w:rsid w:val="00A54341"/>
    <w:rsid w:val="00A662FA"/>
    <w:rsid w:val="00A67213"/>
    <w:rsid w:val="00A73735"/>
    <w:rsid w:val="00A76D0F"/>
    <w:rsid w:val="00A954AA"/>
    <w:rsid w:val="00AA3902"/>
    <w:rsid w:val="00AB7A7D"/>
    <w:rsid w:val="00AC170E"/>
    <w:rsid w:val="00AD5D04"/>
    <w:rsid w:val="00AF1EE5"/>
    <w:rsid w:val="00AF5E0E"/>
    <w:rsid w:val="00B21285"/>
    <w:rsid w:val="00B25E56"/>
    <w:rsid w:val="00B36953"/>
    <w:rsid w:val="00B468BF"/>
    <w:rsid w:val="00B47406"/>
    <w:rsid w:val="00B60D4A"/>
    <w:rsid w:val="00B6270C"/>
    <w:rsid w:val="00B71AB8"/>
    <w:rsid w:val="00B9144E"/>
    <w:rsid w:val="00B96247"/>
    <w:rsid w:val="00B967BF"/>
    <w:rsid w:val="00BA48B2"/>
    <w:rsid w:val="00BA7F1A"/>
    <w:rsid w:val="00BC21FA"/>
    <w:rsid w:val="00BC279A"/>
    <w:rsid w:val="00BE1101"/>
    <w:rsid w:val="00BE2F17"/>
    <w:rsid w:val="00BF0D68"/>
    <w:rsid w:val="00C063C8"/>
    <w:rsid w:val="00C11A94"/>
    <w:rsid w:val="00C130D7"/>
    <w:rsid w:val="00C21496"/>
    <w:rsid w:val="00C37278"/>
    <w:rsid w:val="00C41BBF"/>
    <w:rsid w:val="00C427EA"/>
    <w:rsid w:val="00C43183"/>
    <w:rsid w:val="00C44E11"/>
    <w:rsid w:val="00C50E3F"/>
    <w:rsid w:val="00C53EA5"/>
    <w:rsid w:val="00C60D94"/>
    <w:rsid w:val="00C655FA"/>
    <w:rsid w:val="00C81BD3"/>
    <w:rsid w:val="00C91620"/>
    <w:rsid w:val="00C93F94"/>
    <w:rsid w:val="00C96F9E"/>
    <w:rsid w:val="00C976B1"/>
    <w:rsid w:val="00CA505B"/>
    <w:rsid w:val="00CA590E"/>
    <w:rsid w:val="00CA69AE"/>
    <w:rsid w:val="00CC4AA2"/>
    <w:rsid w:val="00CD396D"/>
    <w:rsid w:val="00CD4ED2"/>
    <w:rsid w:val="00CE2530"/>
    <w:rsid w:val="00CF418C"/>
    <w:rsid w:val="00D36124"/>
    <w:rsid w:val="00D36570"/>
    <w:rsid w:val="00D40213"/>
    <w:rsid w:val="00D50B34"/>
    <w:rsid w:val="00D5212A"/>
    <w:rsid w:val="00D56A38"/>
    <w:rsid w:val="00D57702"/>
    <w:rsid w:val="00D645D4"/>
    <w:rsid w:val="00D7016D"/>
    <w:rsid w:val="00D71CC6"/>
    <w:rsid w:val="00D742FC"/>
    <w:rsid w:val="00D77FBF"/>
    <w:rsid w:val="00D81362"/>
    <w:rsid w:val="00D91869"/>
    <w:rsid w:val="00D92302"/>
    <w:rsid w:val="00DC2BD6"/>
    <w:rsid w:val="00DD299E"/>
    <w:rsid w:val="00DE0EE9"/>
    <w:rsid w:val="00DE43AA"/>
    <w:rsid w:val="00DE51A8"/>
    <w:rsid w:val="00DE548B"/>
    <w:rsid w:val="00E01665"/>
    <w:rsid w:val="00E05611"/>
    <w:rsid w:val="00E135A6"/>
    <w:rsid w:val="00E14BD6"/>
    <w:rsid w:val="00E41B89"/>
    <w:rsid w:val="00E45751"/>
    <w:rsid w:val="00E4728E"/>
    <w:rsid w:val="00E47B1A"/>
    <w:rsid w:val="00E60A52"/>
    <w:rsid w:val="00E60C25"/>
    <w:rsid w:val="00E639FA"/>
    <w:rsid w:val="00E64C5C"/>
    <w:rsid w:val="00E67661"/>
    <w:rsid w:val="00E8042D"/>
    <w:rsid w:val="00E85699"/>
    <w:rsid w:val="00E9044B"/>
    <w:rsid w:val="00E9445F"/>
    <w:rsid w:val="00EB4812"/>
    <w:rsid w:val="00EB4DAE"/>
    <w:rsid w:val="00EC59C5"/>
    <w:rsid w:val="00EC6D36"/>
    <w:rsid w:val="00EC7F7F"/>
    <w:rsid w:val="00EF2F8F"/>
    <w:rsid w:val="00EF6A03"/>
    <w:rsid w:val="00F07E65"/>
    <w:rsid w:val="00F20F08"/>
    <w:rsid w:val="00F232E0"/>
    <w:rsid w:val="00F27A2F"/>
    <w:rsid w:val="00F27F5E"/>
    <w:rsid w:val="00F32FDF"/>
    <w:rsid w:val="00F35EDB"/>
    <w:rsid w:val="00F400A3"/>
    <w:rsid w:val="00F41CA3"/>
    <w:rsid w:val="00F46203"/>
    <w:rsid w:val="00F52B4B"/>
    <w:rsid w:val="00F55FC3"/>
    <w:rsid w:val="00F61FDC"/>
    <w:rsid w:val="00F71308"/>
    <w:rsid w:val="00F7503A"/>
    <w:rsid w:val="00F773E3"/>
    <w:rsid w:val="00F82E1E"/>
    <w:rsid w:val="00F87641"/>
    <w:rsid w:val="00F87BE2"/>
    <w:rsid w:val="00F97768"/>
    <w:rsid w:val="00FB5537"/>
    <w:rsid w:val="00FC366C"/>
    <w:rsid w:val="00FC3BE3"/>
    <w:rsid w:val="00FC7D32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97834"/>
  <w15:docId w15:val="{9E6464B6-1DD6-4260-84F2-38606D3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72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7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315"/>
  </w:style>
  <w:style w:type="paragraph" w:styleId="Footer">
    <w:name w:val="footer"/>
    <w:basedOn w:val="Normal"/>
    <w:link w:val="FooterChar"/>
    <w:uiPriority w:val="99"/>
    <w:unhideWhenUsed/>
    <w:rsid w:val="0072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15"/>
  </w:style>
  <w:style w:type="character" w:styleId="CommentReference">
    <w:name w:val="annotation reference"/>
    <w:basedOn w:val="DefaultParagraphFont"/>
    <w:uiPriority w:val="99"/>
    <w:semiHidden/>
    <w:unhideWhenUsed/>
    <w:rsid w:val="00197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F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10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53E26"/>
    <w:pPr>
      <w:spacing w:after="0" w:line="240" w:lineRule="auto"/>
    </w:pPr>
    <w:rPr>
      <w:rFonts w:ascii="Times New Roman" w:hAnsi="Times New Roman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AA75-2F85-4818-BFDC-688B09B0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 Porter</dc:creator>
  <cp:lastModifiedBy>Desi Burns Porter</cp:lastModifiedBy>
  <cp:revision>80</cp:revision>
  <cp:lastPrinted>2016-12-20T19:00:00Z</cp:lastPrinted>
  <dcterms:created xsi:type="dcterms:W3CDTF">2022-03-31T01:37:00Z</dcterms:created>
  <dcterms:modified xsi:type="dcterms:W3CDTF">2022-03-31T02:43:00Z</dcterms:modified>
</cp:coreProperties>
</file>